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3F" w:rsidRDefault="00A62AEC">
      <w:pPr>
        <w:widowControl w:val="0"/>
        <w:tabs>
          <w:tab w:val="left" w:pos="120"/>
          <w:tab w:val="center" w:pos="6420"/>
        </w:tabs>
        <w:rPr>
          <w:b/>
          <w:bCs/>
          <w:color w:val="000000"/>
          <w:sz w:val="18"/>
          <w:szCs w:val="18"/>
          <w:lang w:val="es-MX"/>
        </w:rPr>
      </w:pPr>
      <w:r>
        <w:rPr>
          <w:lang w:val="es-MX"/>
        </w:rPr>
        <w:tab/>
      </w:r>
      <w:r w:rsidR="007B542F">
        <w:rPr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ab/>
      </w:r>
      <w:r>
        <w:rPr>
          <w:b/>
          <w:bCs/>
          <w:color w:val="000000"/>
          <w:sz w:val="18"/>
          <w:szCs w:val="18"/>
          <w:lang w:val="es-MX"/>
        </w:rPr>
        <w:t>INSTITUTO PARA LA PROTECCION DE PERSONAS DEFENSORAS DE DERECHOS HUMANOS Y PERIODISTAS</w:t>
      </w:r>
    </w:p>
    <w:p w:rsidR="00695A3F" w:rsidRDefault="00695A3F">
      <w:pPr>
        <w:widowControl w:val="0"/>
        <w:spacing w:line="308" w:lineRule="exact"/>
        <w:rPr>
          <w:lang w:val="es-MX"/>
        </w:rPr>
      </w:pPr>
    </w:p>
    <w:p w:rsidR="00695A3F" w:rsidRPr="004D258B" w:rsidRDefault="004D258B" w:rsidP="007B542F">
      <w:pPr>
        <w:widowControl w:val="0"/>
        <w:tabs>
          <w:tab w:val="center" w:pos="6420"/>
        </w:tabs>
        <w:spacing w:line="180" w:lineRule="exact"/>
        <w:jc w:val="center"/>
        <w:rPr>
          <w:b/>
          <w:bCs/>
          <w:color w:val="000000"/>
          <w:szCs w:val="18"/>
          <w:lang w:val="es-MX"/>
        </w:rPr>
      </w:pPr>
      <w:r w:rsidRPr="004D258B">
        <w:rPr>
          <w:b/>
          <w:bCs/>
          <w:color w:val="000000"/>
          <w:szCs w:val="18"/>
          <w:lang w:val="es-MX"/>
        </w:rPr>
        <w:t>I) N</w:t>
      </w:r>
      <w:r w:rsidR="00A62AEC" w:rsidRPr="004D258B">
        <w:rPr>
          <w:b/>
          <w:bCs/>
          <w:color w:val="000000"/>
          <w:szCs w:val="18"/>
          <w:lang w:val="es-MX"/>
        </w:rPr>
        <w:t>OTAS A LOS ESTADOS FINANCIEROS</w:t>
      </w:r>
    </w:p>
    <w:p w:rsidR="00695A3F" w:rsidRPr="004D258B" w:rsidRDefault="00A62AEC" w:rsidP="007B542F">
      <w:pPr>
        <w:widowControl w:val="0"/>
        <w:tabs>
          <w:tab w:val="center" w:pos="6420"/>
        </w:tabs>
        <w:spacing w:line="240" w:lineRule="exact"/>
        <w:jc w:val="center"/>
        <w:rPr>
          <w:b/>
          <w:bCs/>
          <w:color w:val="000000"/>
          <w:szCs w:val="18"/>
          <w:lang w:val="es-MX"/>
        </w:rPr>
      </w:pPr>
      <w:r w:rsidRPr="004D258B">
        <w:rPr>
          <w:b/>
          <w:bCs/>
          <w:color w:val="000000"/>
          <w:szCs w:val="18"/>
          <w:lang w:val="es-MX"/>
        </w:rPr>
        <w:t>AL 31 DE MARZO DE 2024</w:t>
      </w:r>
    </w:p>
    <w:p w:rsidR="00695A3F" w:rsidRPr="004D258B" w:rsidRDefault="00852720" w:rsidP="007B542F">
      <w:pPr>
        <w:widowControl w:val="0"/>
        <w:tabs>
          <w:tab w:val="center" w:pos="6420"/>
        </w:tabs>
        <w:spacing w:line="240" w:lineRule="exact"/>
        <w:jc w:val="center"/>
        <w:rPr>
          <w:b/>
          <w:bCs/>
          <w:color w:val="000000"/>
          <w:sz w:val="22"/>
          <w:szCs w:val="18"/>
          <w:lang w:val="es-MX"/>
        </w:rPr>
      </w:pPr>
      <w:r w:rsidRPr="004D258B">
        <w:rPr>
          <w:b/>
          <w:bCs/>
          <w:color w:val="000000"/>
          <w:sz w:val="22"/>
          <w:szCs w:val="18"/>
          <w:lang w:val="es-MX"/>
        </w:rPr>
        <w:t>b</w:t>
      </w:r>
      <w:r w:rsidR="00A62AEC" w:rsidRPr="004D258B">
        <w:rPr>
          <w:b/>
          <w:bCs/>
          <w:color w:val="000000"/>
          <w:sz w:val="22"/>
          <w:szCs w:val="18"/>
          <w:lang w:val="es-MX"/>
        </w:rPr>
        <w:t xml:space="preserve">) </w:t>
      </w:r>
      <w:r w:rsidR="004D258B">
        <w:rPr>
          <w:b/>
          <w:bCs/>
          <w:color w:val="000000"/>
          <w:sz w:val="22"/>
          <w:szCs w:val="18"/>
          <w:lang w:val="es-MX"/>
        </w:rPr>
        <w:t>Notas de Desglos</w:t>
      </w:r>
      <w:r w:rsidRPr="004D258B">
        <w:rPr>
          <w:b/>
          <w:bCs/>
          <w:color w:val="000000"/>
          <w:sz w:val="22"/>
          <w:szCs w:val="18"/>
          <w:lang w:val="es-MX"/>
        </w:rPr>
        <w:t>e</w:t>
      </w:r>
      <w:r w:rsidR="004D258B">
        <w:rPr>
          <w:b/>
          <w:bCs/>
          <w:color w:val="000000"/>
          <w:sz w:val="22"/>
          <w:szCs w:val="18"/>
          <w:lang w:val="es-MX"/>
        </w:rPr>
        <w:t>.</w:t>
      </w:r>
    </w:p>
    <w:p w:rsidR="00695A3F" w:rsidRDefault="00A62AEC" w:rsidP="007B542F">
      <w:pPr>
        <w:widowControl w:val="0"/>
        <w:tabs>
          <w:tab w:val="right" w:pos="11325"/>
        </w:tabs>
        <w:spacing w:line="240" w:lineRule="exact"/>
        <w:jc w:val="right"/>
        <w:rPr>
          <w:color w:val="000000"/>
          <w:sz w:val="18"/>
          <w:szCs w:val="18"/>
          <w:lang w:val="es-MX"/>
        </w:rPr>
      </w:pPr>
      <w:r>
        <w:rPr>
          <w:color w:val="000000"/>
          <w:sz w:val="18"/>
          <w:szCs w:val="18"/>
          <w:lang w:val="es-MX"/>
        </w:rPr>
        <w:t>IC</w:t>
      </w:r>
      <w:r>
        <w:rPr>
          <w:color w:val="000000"/>
          <w:sz w:val="18"/>
          <w:szCs w:val="18"/>
          <w:lang w:val="es-MX"/>
        </w:rPr>
        <w:noBreakHyphen/>
        <w:t>NEF</w:t>
      </w:r>
      <w:r>
        <w:rPr>
          <w:color w:val="000000"/>
          <w:sz w:val="18"/>
          <w:szCs w:val="18"/>
          <w:lang w:val="es-MX"/>
        </w:rPr>
        <w:noBreakHyphen/>
        <w:t>06</w:t>
      </w:r>
      <w:r>
        <w:rPr>
          <w:color w:val="000000"/>
          <w:sz w:val="18"/>
          <w:szCs w:val="18"/>
          <w:lang w:val="es-MX"/>
        </w:rPr>
        <w:noBreakHyphen/>
        <w:t>2403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40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t>I) Notas al Estado de Actividades</w:t>
      </w:r>
    </w:p>
    <w:p w:rsidR="004D258B" w:rsidRDefault="004D258B" w:rsidP="004D258B">
      <w:pPr>
        <w:widowControl w:val="0"/>
        <w:spacing w:line="205" w:lineRule="exact"/>
        <w:rPr>
          <w:lang w:val="es-MX"/>
        </w:rPr>
      </w:pP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Ingresos de Gestión</w:t>
      </w:r>
    </w:p>
    <w:p w:rsidR="004D258B" w:rsidRDefault="004D258B" w:rsidP="004D258B">
      <w:pPr>
        <w:widowControl w:val="0"/>
        <w:spacing w:line="225" w:lineRule="exact"/>
        <w:rPr>
          <w:lang w:val="es-MX"/>
        </w:rPr>
      </w:pP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Ingresos Presupuestales</w:t>
      </w:r>
    </w:p>
    <w:p w:rsidR="004D258B" w:rsidRDefault="004D258B" w:rsidP="004D258B">
      <w:pPr>
        <w:widowControl w:val="0"/>
        <w:spacing w:line="245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Productos</w:t>
      </w:r>
      <w:r>
        <w:rPr>
          <w:color w:val="000000"/>
          <w:sz w:val="16"/>
          <w:szCs w:val="16"/>
          <w:lang w:val="es-MX"/>
        </w:rPr>
        <w:tab/>
        <w:t xml:space="preserve"> 73.83</w:t>
      </w:r>
      <w:r>
        <w:rPr>
          <w:color w:val="000000"/>
          <w:sz w:val="16"/>
          <w:szCs w:val="16"/>
          <w:lang w:val="es-MX"/>
        </w:rPr>
        <w:tab/>
        <w:t xml:space="preserve"> 200.54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Transferencias y Asignaciones</w:t>
      </w:r>
      <w:r>
        <w:rPr>
          <w:color w:val="000000"/>
          <w:sz w:val="16"/>
          <w:szCs w:val="16"/>
          <w:lang w:val="es-MX"/>
        </w:rPr>
        <w:tab/>
        <w:t xml:space="preserve"> 2,810,375.50</w:t>
      </w:r>
      <w:r>
        <w:rPr>
          <w:color w:val="000000"/>
          <w:sz w:val="16"/>
          <w:szCs w:val="16"/>
          <w:lang w:val="es-MX"/>
        </w:rPr>
        <w:tab/>
        <w:t xml:space="preserve"> 3,060,961.00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Otros Ingresos</w:t>
      </w:r>
    </w:p>
    <w:p w:rsidR="004D258B" w:rsidRDefault="004D258B" w:rsidP="004D258B">
      <w:pPr>
        <w:widowControl w:val="0"/>
        <w:spacing w:line="245" w:lineRule="exact"/>
        <w:rPr>
          <w:lang w:val="es-MX"/>
        </w:rPr>
      </w:pP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Gastos y Otras Perdidas</w:t>
      </w:r>
    </w:p>
    <w:p w:rsidR="004D258B" w:rsidRDefault="004D258B" w:rsidP="004D258B">
      <w:pPr>
        <w:widowControl w:val="0"/>
        <w:spacing w:line="225" w:lineRule="exact"/>
        <w:rPr>
          <w:lang w:val="es-MX"/>
        </w:rPr>
      </w:pP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Gastos Presupuestales</w:t>
      </w:r>
    </w:p>
    <w:p w:rsidR="004D258B" w:rsidRDefault="004D258B" w:rsidP="004D258B">
      <w:pPr>
        <w:widowControl w:val="0"/>
        <w:spacing w:line="245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Remuneraciones al Personal de Carácter Permanente</w:t>
      </w:r>
      <w:r>
        <w:rPr>
          <w:color w:val="000000"/>
          <w:sz w:val="16"/>
          <w:szCs w:val="16"/>
          <w:lang w:val="es-MX"/>
        </w:rPr>
        <w:tab/>
        <w:t xml:space="preserve"> 1,412,254.90</w:t>
      </w:r>
      <w:r>
        <w:rPr>
          <w:color w:val="000000"/>
          <w:sz w:val="16"/>
          <w:szCs w:val="16"/>
          <w:lang w:val="es-MX"/>
        </w:rPr>
        <w:tab/>
        <w:t xml:space="preserve"> 1,265,169.28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Remuneraciones al Personal de Carácter Transitorio</w:t>
      </w:r>
      <w:r>
        <w:rPr>
          <w:color w:val="000000"/>
          <w:sz w:val="16"/>
          <w:szCs w:val="16"/>
          <w:lang w:val="es-MX"/>
        </w:rPr>
        <w:tab/>
        <w:t xml:space="preserve"> 103,626.69</w:t>
      </w:r>
      <w:r>
        <w:rPr>
          <w:color w:val="000000"/>
          <w:sz w:val="16"/>
          <w:szCs w:val="16"/>
          <w:lang w:val="es-MX"/>
        </w:rPr>
        <w:tab/>
        <w:t xml:space="preserve"> 50,859.63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Seguridad Social</w:t>
      </w:r>
      <w:r>
        <w:rPr>
          <w:color w:val="000000"/>
          <w:sz w:val="16"/>
          <w:szCs w:val="16"/>
          <w:lang w:val="es-MX"/>
        </w:rPr>
        <w:tab/>
        <w:t xml:space="preserve"> 227,537.63</w:t>
      </w:r>
      <w:r>
        <w:rPr>
          <w:color w:val="000000"/>
          <w:sz w:val="16"/>
          <w:szCs w:val="16"/>
          <w:lang w:val="es-MX"/>
        </w:rPr>
        <w:tab/>
        <w:t xml:space="preserve"> 180,702.96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Materiales de Administración, Emisión de Documentos y Artículos Oficiales</w:t>
      </w:r>
      <w:r>
        <w:rPr>
          <w:color w:val="000000"/>
          <w:sz w:val="16"/>
          <w:szCs w:val="16"/>
          <w:lang w:val="es-MX"/>
        </w:rPr>
        <w:tab/>
        <w:t xml:space="preserve"> 52,438.37</w:t>
      </w:r>
      <w:r>
        <w:rPr>
          <w:color w:val="000000"/>
          <w:sz w:val="16"/>
          <w:szCs w:val="16"/>
          <w:lang w:val="es-MX"/>
        </w:rPr>
        <w:tab/>
        <w:t xml:space="preserve"> 90,796.16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Materiales y Artículos de Construcción y de Reparación</w:t>
      </w:r>
      <w:r>
        <w:rPr>
          <w:color w:val="000000"/>
          <w:sz w:val="16"/>
          <w:szCs w:val="16"/>
          <w:lang w:val="es-MX"/>
        </w:rPr>
        <w:tab/>
        <w:t xml:space="preserve"> 347.01</w:t>
      </w:r>
      <w:r>
        <w:rPr>
          <w:color w:val="000000"/>
          <w:sz w:val="16"/>
          <w:szCs w:val="16"/>
          <w:lang w:val="es-MX"/>
        </w:rPr>
        <w:tab/>
        <w:t xml:space="preserve"> 354.01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Combustibles, Lubricantes y Aditivos</w:t>
      </w:r>
      <w:r>
        <w:rPr>
          <w:color w:val="000000"/>
          <w:sz w:val="16"/>
          <w:szCs w:val="16"/>
          <w:lang w:val="es-MX"/>
        </w:rPr>
        <w:tab/>
        <w:t xml:space="preserve"> 18,764.20</w:t>
      </w:r>
      <w:r>
        <w:rPr>
          <w:color w:val="000000"/>
          <w:sz w:val="16"/>
          <w:szCs w:val="16"/>
          <w:lang w:val="es-MX"/>
        </w:rPr>
        <w:tab/>
        <w:t xml:space="preserve"> 10,302.89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Materiales y Suministros para Seguridad</w:t>
      </w:r>
      <w:r>
        <w:rPr>
          <w:color w:val="000000"/>
          <w:sz w:val="16"/>
          <w:szCs w:val="16"/>
          <w:lang w:val="es-MX"/>
        </w:rPr>
        <w:tab/>
        <w:t xml:space="preserve"> 53,439.91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Herramientas, Refacciones y Accesorios Menores</w:t>
      </w:r>
      <w:r>
        <w:rPr>
          <w:color w:val="000000"/>
          <w:sz w:val="16"/>
          <w:szCs w:val="16"/>
          <w:lang w:val="es-MX"/>
        </w:rPr>
        <w:tab/>
        <w:t xml:space="preserve"> 50,569.43</w:t>
      </w:r>
      <w:r>
        <w:rPr>
          <w:color w:val="000000"/>
          <w:sz w:val="16"/>
          <w:szCs w:val="16"/>
          <w:lang w:val="es-MX"/>
        </w:rPr>
        <w:tab/>
        <w:t xml:space="preserve"> 58,147.36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Básicos</w:t>
      </w:r>
      <w:r>
        <w:rPr>
          <w:color w:val="000000"/>
          <w:sz w:val="16"/>
          <w:szCs w:val="16"/>
          <w:lang w:val="es-MX"/>
        </w:rPr>
        <w:tab/>
        <w:t xml:space="preserve"> 53,619.55</w:t>
      </w:r>
      <w:r>
        <w:rPr>
          <w:color w:val="000000"/>
          <w:sz w:val="16"/>
          <w:szCs w:val="16"/>
          <w:lang w:val="es-MX"/>
        </w:rPr>
        <w:tab/>
        <w:t xml:space="preserve"> 54,190.22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de Arrendamiento</w:t>
      </w:r>
      <w:r>
        <w:rPr>
          <w:color w:val="000000"/>
          <w:sz w:val="16"/>
          <w:szCs w:val="16"/>
          <w:lang w:val="es-MX"/>
        </w:rPr>
        <w:tab/>
        <w:t xml:space="preserve"> 159,377.22</w:t>
      </w:r>
      <w:r>
        <w:rPr>
          <w:color w:val="000000"/>
          <w:sz w:val="16"/>
          <w:szCs w:val="16"/>
          <w:lang w:val="es-MX"/>
        </w:rPr>
        <w:tab/>
        <w:t xml:space="preserve"> 115,889.85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Profesionales, Científicos y Técnicos y Otros Servicios</w:t>
      </w:r>
      <w:r>
        <w:rPr>
          <w:color w:val="000000"/>
          <w:sz w:val="16"/>
          <w:szCs w:val="16"/>
          <w:lang w:val="es-MX"/>
        </w:rPr>
        <w:tab/>
        <w:t xml:space="preserve"> 17,898.00</w:t>
      </w:r>
      <w:r>
        <w:rPr>
          <w:color w:val="000000"/>
          <w:sz w:val="16"/>
          <w:szCs w:val="16"/>
          <w:lang w:val="es-MX"/>
        </w:rPr>
        <w:tab/>
        <w:t xml:space="preserve"> 14,894.40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Financieros, Bancarios y Comerciales</w:t>
      </w:r>
      <w:r>
        <w:rPr>
          <w:color w:val="000000"/>
          <w:sz w:val="16"/>
          <w:szCs w:val="16"/>
          <w:lang w:val="es-MX"/>
        </w:rPr>
        <w:tab/>
        <w:t xml:space="preserve"> 18,440.95</w:t>
      </w:r>
      <w:r>
        <w:rPr>
          <w:color w:val="000000"/>
          <w:sz w:val="16"/>
          <w:szCs w:val="16"/>
          <w:lang w:val="es-MX"/>
        </w:rPr>
        <w:tab/>
        <w:t xml:space="preserve"> 17,017.26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de Instalación, Reparación, Mantenimiento y Conservación</w:t>
      </w:r>
      <w:r>
        <w:rPr>
          <w:color w:val="000000"/>
          <w:sz w:val="16"/>
          <w:szCs w:val="16"/>
          <w:lang w:val="es-MX"/>
        </w:rPr>
        <w:tab/>
        <w:t xml:space="preserve"> 50,799.38</w:t>
      </w:r>
      <w:r>
        <w:rPr>
          <w:color w:val="000000"/>
          <w:sz w:val="16"/>
          <w:szCs w:val="16"/>
          <w:lang w:val="es-MX"/>
        </w:rPr>
        <w:tab/>
        <w:t xml:space="preserve"> 59,257.29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de Traslado y Viáticos</w:t>
      </w:r>
      <w:r>
        <w:rPr>
          <w:color w:val="000000"/>
          <w:sz w:val="16"/>
          <w:szCs w:val="16"/>
          <w:lang w:val="es-MX"/>
        </w:rPr>
        <w:tab/>
        <w:t xml:space="preserve"> 87,218.83</w:t>
      </w:r>
      <w:r>
        <w:rPr>
          <w:color w:val="000000"/>
          <w:sz w:val="16"/>
          <w:szCs w:val="16"/>
          <w:lang w:val="es-MX"/>
        </w:rPr>
        <w:tab/>
        <w:t xml:space="preserve"> 31,433.36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Oficiales</w:t>
      </w:r>
      <w:r>
        <w:rPr>
          <w:color w:val="000000"/>
          <w:sz w:val="16"/>
          <w:szCs w:val="16"/>
          <w:lang w:val="es-MX"/>
        </w:rPr>
        <w:tab/>
        <w:t xml:space="preserve"> 22,382.19</w:t>
      </w:r>
      <w:r>
        <w:rPr>
          <w:color w:val="000000"/>
          <w:sz w:val="16"/>
          <w:szCs w:val="16"/>
          <w:lang w:val="es-MX"/>
        </w:rPr>
        <w:tab/>
        <w:t xml:space="preserve"> 40,582.68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Otros Servicios Generales</w:t>
      </w:r>
      <w:r>
        <w:rPr>
          <w:color w:val="000000"/>
          <w:sz w:val="16"/>
          <w:szCs w:val="16"/>
          <w:lang w:val="es-MX"/>
        </w:rPr>
        <w:tab/>
        <w:t xml:space="preserve"> 32,503.00</w:t>
      </w:r>
      <w:r>
        <w:rPr>
          <w:color w:val="000000"/>
          <w:sz w:val="16"/>
          <w:szCs w:val="16"/>
          <w:lang w:val="es-MX"/>
        </w:rPr>
        <w:tab/>
        <w:t xml:space="preserve"> 27,392.00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Ayudas Sociales a Personas</w:t>
      </w:r>
      <w:r>
        <w:rPr>
          <w:color w:val="000000"/>
          <w:sz w:val="16"/>
          <w:szCs w:val="16"/>
          <w:lang w:val="es-MX"/>
        </w:rPr>
        <w:tab/>
        <w:t xml:space="preserve"> 165,000.01</w:t>
      </w:r>
      <w:r>
        <w:rPr>
          <w:color w:val="000000"/>
          <w:sz w:val="16"/>
          <w:szCs w:val="16"/>
          <w:lang w:val="es-MX"/>
        </w:rPr>
        <w:tab/>
        <w:t xml:space="preserve"> 331,110.08</w:t>
      </w:r>
    </w:p>
    <w:p w:rsidR="004D258B" w:rsidRDefault="004D258B" w:rsidP="004D258B">
      <w:pPr>
        <w:widowControl w:val="0"/>
        <w:spacing w:line="120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Otros Gastos</w:t>
      </w:r>
    </w:p>
    <w:p w:rsidR="004D258B" w:rsidRDefault="004D258B" w:rsidP="004D258B">
      <w:pPr>
        <w:widowControl w:val="0"/>
        <w:spacing w:line="245" w:lineRule="exact"/>
        <w:rPr>
          <w:lang w:val="es-MX"/>
        </w:rPr>
      </w:pPr>
    </w:p>
    <w:p w:rsidR="004D258B" w:rsidRDefault="004D258B" w:rsidP="004D258B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Depreciación de Bienes Muebles</w:t>
      </w:r>
      <w:r>
        <w:rPr>
          <w:color w:val="000000"/>
          <w:sz w:val="16"/>
          <w:szCs w:val="16"/>
          <w:lang w:val="es-MX"/>
        </w:rPr>
        <w:tab/>
        <w:t xml:space="preserve"> 52,963.73</w:t>
      </w:r>
      <w:r>
        <w:rPr>
          <w:color w:val="000000"/>
          <w:sz w:val="16"/>
          <w:szCs w:val="16"/>
          <w:lang w:val="es-MX"/>
        </w:rPr>
        <w:tab/>
        <w:t xml:space="preserve"> 8,972.41</w:t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Amortización de Activos Intangibles</w:t>
      </w:r>
      <w:r w:rsidR="00A62AEC"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1,424.37</w:t>
      </w:r>
      <w:r>
        <w:rPr>
          <w:color w:val="000000"/>
          <w:sz w:val="16"/>
          <w:szCs w:val="16"/>
          <w:lang w:val="es-MX"/>
        </w:rPr>
        <w:tab/>
        <w:t xml:space="preserve"> 474.79</w:t>
      </w: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4D258B" w:rsidRDefault="004D258B" w:rsidP="004D258B">
      <w:pPr>
        <w:widowControl w:val="0"/>
        <w:tabs>
          <w:tab w:val="left" w:pos="240"/>
        </w:tabs>
        <w:spacing w:line="281" w:lineRule="exact"/>
        <w:ind w:left="4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81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lastRenderedPageBreak/>
        <w:t>I</w:t>
      </w:r>
      <w:r w:rsidR="004D258B">
        <w:rPr>
          <w:b/>
          <w:bCs/>
          <w:color w:val="000000"/>
          <w:sz w:val="24"/>
          <w:szCs w:val="24"/>
          <w:lang w:val="es-MX"/>
        </w:rPr>
        <w:t>I</w:t>
      </w:r>
      <w:r>
        <w:rPr>
          <w:b/>
          <w:bCs/>
          <w:color w:val="000000"/>
          <w:sz w:val="24"/>
          <w:szCs w:val="24"/>
          <w:lang w:val="es-MX"/>
        </w:rPr>
        <w:t>) Notas al Estado de Situación Financiera</w:t>
      </w:r>
    </w:p>
    <w:p w:rsidR="00695A3F" w:rsidRDefault="00695A3F">
      <w:pPr>
        <w:widowControl w:val="0"/>
        <w:spacing w:line="20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Activo</w:t>
      </w:r>
    </w:p>
    <w:p w:rsidR="00695A3F" w:rsidRDefault="00695A3F">
      <w:pPr>
        <w:widowControl w:val="0"/>
        <w:spacing w:line="22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Efectivo y Equivalentes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A62AEC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Efectivo</w:t>
      </w:r>
      <w:r>
        <w:rPr>
          <w:color w:val="000000"/>
          <w:sz w:val="16"/>
          <w:szCs w:val="16"/>
          <w:lang w:val="es-MX"/>
        </w:rPr>
        <w:tab/>
        <w:t xml:space="preserve"> 10,000.00</w:t>
      </w:r>
      <w:r>
        <w:rPr>
          <w:color w:val="000000"/>
          <w:sz w:val="16"/>
          <w:szCs w:val="16"/>
          <w:lang w:val="es-MX"/>
        </w:rPr>
        <w:tab/>
        <w:t xml:space="preserve"> 10,000.00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Bancos/Tesorería</w:t>
      </w:r>
      <w:r>
        <w:rPr>
          <w:color w:val="000000"/>
          <w:sz w:val="16"/>
          <w:szCs w:val="16"/>
          <w:lang w:val="es-MX"/>
        </w:rPr>
        <w:tab/>
        <w:t xml:space="preserve"> 638,314.05</w:t>
      </w:r>
      <w:r>
        <w:rPr>
          <w:color w:val="000000"/>
          <w:sz w:val="16"/>
          <w:szCs w:val="16"/>
          <w:lang w:val="es-MX"/>
        </w:rPr>
        <w:tab/>
        <w:t xml:space="preserve"> 1,014,579.96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 w:rsidR="004D258B">
        <w:rPr>
          <w:b/>
          <w:bCs/>
          <w:color w:val="000000"/>
          <w:lang w:val="es-MX"/>
        </w:rPr>
        <w:t>2) Derechos a Recibi</w:t>
      </w:r>
      <w:r>
        <w:rPr>
          <w:b/>
          <w:bCs/>
          <w:color w:val="000000"/>
          <w:lang w:val="es-MX"/>
        </w:rPr>
        <w:t>r Efectivo y Equivalentes y Bienes o Servicios a Recibir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A62AEC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Deudores Diversos por Cobrar a Corto Plazo</w:t>
      </w:r>
      <w:r>
        <w:rPr>
          <w:color w:val="000000"/>
          <w:sz w:val="16"/>
          <w:szCs w:val="16"/>
          <w:lang w:val="es-MX"/>
        </w:rPr>
        <w:tab/>
        <w:t xml:space="preserve"> 4,186.13</w:t>
      </w:r>
      <w:r>
        <w:rPr>
          <w:color w:val="000000"/>
          <w:sz w:val="16"/>
          <w:szCs w:val="16"/>
          <w:lang w:val="es-MX"/>
        </w:rPr>
        <w:tab/>
        <w:t xml:space="preserve"> 2,582.09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3) Bienes Disponibles para su Transformación o Consumo (inventarios)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4) Inversiones Financieras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5) Bienes Muebles, Inmuebles e Intangibles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A62AEC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Mobiliario y Equipo de Administración</w:t>
      </w:r>
      <w:r>
        <w:rPr>
          <w:color w:val="000000"/>
          <w:sz w:val="16"/>
          <w:szCs w:val="16"/>
          <w:lang w:val="es-MX"/>
        </w:rPr>
        <w:tab/>
        <w:t xml:space="preserve"> 723,958.31</w:t>
      </w:r>
      <w:r>
        <w:rPr>
          <w:color w:val="000000"/>
          <w:sz w:val="16"/>
          <w:szCs w:val="16"/>
          <w:lang w:val="es-MX"/>
        </w:rPr>
        <w:tab/>
        <w:t xml:space="preserve"> 361,264.23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Vehículos y Equipo de Transporte</w:t>
      </w:r>
      <w:r>
        <w:rPr>
          <w:color w:val="000000"/>
          <w:sz w:val="16"/>
          <w:szCs w:val="16"/>
          <w:lang w:val="es-MX"/>
        </w:rPr>
        <w:tab/>
        <w:t xml:space="preserve"> 343,900.00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Maquinaria, Otros Equipos y Herramientas</w:t>
      </w:r>
      <w:r>
        <w:rPr>
          <w:color w:val="000000"/>
          <w:sz w:val="16"/>
          <w:szCs w:val="16"/>
          <w:lang w:val="es-MX"/>
        </w:rPr>
        <w:tab/>
        <w:t xml:space="preserve"> 14,078.00</w:t>
      </w:r>
      <w:r>
        <w:rPr>
          <w:color w:val="000000"/>
          <w:sz w:val="16"/>
          <w:szCs w:val="16"/>
          <w:lang w:val="es-MX"/>
        </w:rPr>
        <w:tab/>
        <w:t xml:space="preserve"> 14,078.00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6) Estimaciones y Deterioros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A62AEC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Depreciación Acumulada de Bienes Muebles</w:t>
      </w:r>
      <w:r>
        <w:rPr>
          <w:color w:val="000000"/>
          <w:sz w:val="16"/>
          <w:szCs w:val="16"/>
          <w:lang w:val="es-MX"/>
        </w:rPr>
        <w:tab/>
        <w:t xml:space="preserve"> 183,009.81</w:t>
      </w:r>
      <w:r>
        <w:rPr>
          <w:color w:val="000000"/>
          <w:sz w:val="16"/>
          <w:szCs w:val="16"/>
          <w:lang w:val="es-MX"/>
        </w:rPr>
        <w:tab/>
        <w:t xml:space="preserve"> 12,739.83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Amortización Acumulada de Activos Intangibles</w:t>
      </w:r>
      <w:r>
        <w:rPr>
          <w:color w:val="000000"/>
          <w:sz w:val="16"/>
          <w:szCs w:val="16"/>
          <w:lang w:val="es-MX"/>
        </w:rPr>
        <w:tab/>
        <w:t xml:space="preserve"> 6,172.27</w:t>
      </w:r>
      <w:r>
        <w:rPr>
          <w:color w:val="000000"/>
          <w:sz w:val="16"/>
          <w:szCs w:val="16"/>
          <w:lang w:val="es-MX"/>
        </w:rPr>
        <w:tab/>
        <w:t xml:space="preserve"> 474.79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7) Otros Activos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2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Pasivo</w:t>
      </w:r>
    </w:p>
    <w:p w:rsidR="00695A3F" w:rsidRDefault="00695A3F">
      <w:pPr>
        <w:widowControl w:val="0"/>
        <w:spacing w:line="22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Cuentas por Pagar a Corto Plazo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A62AEC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Servicios Personales por Pagar a Corto Plazo</w:t>
      </w:r>
      <w:r>
        <w:rPr>
          <w:color w:val="000000"/>
          <w:sz w:val="16"/>
          <w:szCs w:val="16"/>
          <w:lang w:val="es-MX"/>
        </w:rPr>
        <w:tab/>
        <w:t xml:space="preserve"> 30,500.00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Proveedores por Pagar a Corto Plazo</w:t>
      </w:r>
      <w:r>
        <w:rPr>
          <w:color w:val="000000"/>
          <w:sz w:val="16"/>
          <w:szCs w:val="16"/>
          <w:lang w:val="es-MX"/>
        </w:rPr>
        <w:tab/>
        <w:t xml:space="preserve"> 26,180.46</w:t>
      </w:r>
      <w:r>
        <w:rPr>
          <w:color w:val="000000"/>
          <w:sz w:val="16"/>
          <w:szCs w:val="16"/>
          <w:lang w:val="es-MX"/>
        </w:rPr>
        <w:tab/>
        <w:t xml:space="preserve"> 67,039.93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Retenciones y Contribuciones por Pagar a Corto Plazo</w:t>
      </w:r>
      <w:r>
        <w:rPr>
          <w:color w:val="000000"/>
          <w:sz w:val="16"/>
          <w:szCs w:val="16"/>
          <w:lang w:val="es-MX"/>
        </w:rPr>
        <w:tab/>
        <w:t xml:space="preserve"> 128,020.85</w:t>
      </w:r>
      <w:r>
        <w:rPr>
          <w:color w:val="000000"/>
          <w:sz w:val="16"/>
          <w:szCs w:val="16"/>
          <w:lang w:val="es-MX"/>
        </w:rPr>
        <w:tab/>
        <w:t xml:space="preserve"> 119,655.42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Otras Cuentas por Pagar a Corto Plazo</w:t>
      </w:r>
      <w:r>
        <w:rPr>
          <w:color w:val="000000"/>
          <w:sz w:val="16"/>
          <w:szCs w:val="16"/>
          <w:lang w:val="es-MX"/>
        </w:rPr>
        <w:tab/>
        <w:t xml:space="preserve"> 1.81</w:t>
      </w:r>
      <w:r>
        <w:rPr>
          <w:color w:val="000000"/>
          <w:sz w:val="16"/>
          <w:szCs w:val="16"/>
          <w:lang w:val="es-MX"/>
        </w:rPr>
        <w:tab/>
        <w:t xml:space="preserve"> 67.93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2) Cuentas por Pagar a Largo Plazo</w:t>
      </w:r>
    </w:p>
    <w:p w:rsidR="00695A3F" w:rsidRDefault="00695A3F">
      <w:pPr>
        <w:widowControl w:val="0"/>
        <w:spacing w:line="245" w:lineRule="exact"/>
        <w:rPr>
          <w:lang w:val="es-MX"/>
        </w:rPr>
      </w:pPr>
    </w:p>
    <w:p w:rsidR="00695A3F" w:rsidRDefault="00A62AEC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color w:val="000000"/>
          <w:sz w:val="16"/>
          <w:szCs w:val="16"/>
          <w:lang w:val="es-MX"/>
        </w:rPr>
        <w:tab/>
      </w: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4D258B" w:rsidRDefault="004D258B" w:rsidP="004D258B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301" w:lineRule="exact"/>
        <w:rPr>
          <w:b/>
          <w:bCs/>
          <w:color w:val="000000"/>
          <w:sz w:val="24"/>
          <w:szCs w:val="24"/>
          <w:lang w:val="es-MX"/>
        </w:rPr>
      </w:pPr>
      <w:r>
        <w:rPr>
          <w:lang w:val="es-MX"/>
        </w:rPr>
        <w:lastRenderedPageBreak/>
        <w:tab/>
      </w:r>
      <w:r>
        <w:rPr>
          <w:b/>
          <w:bCs/>
          <w:color w:val="000000"/>
          <w:sz w:val="24"/>
          <w:szCs w:val="24"/>
          <w:lang w:val="es-MX"/>
        </w:rPr>
        <w:t>III) Notas al Estado de Variación de la Hacienda Pública</w:t>
      </w:r>
    </w:p>
    <w:p w:rsidR="00695A3F" w:rsidRDefault="00695A3F">
      <w:pPr>
        <w:widowControl w:val="0"/>
        <w:spacing w:line="205" w:lineRule="exact"/>
        <w:rPr>
          <w:lang w:val="es-MX"/>
        </w:rPr>
      </w:pPr>
    </w:p>
    <w:p w:rsidR="00695A3F" w:rsidRDefault="00A62AEC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HACIENDA PUBLICA /PATRIMONIO GENERADO</w:t>
      </w:r>
      <w:r>
        <w:rPr>
          <w:color w:val="000000"/>
          <w:sz w:val="16"/>
          <w:szCs w:val="16"/>
          <w:lang w:val="es-MX"/>
        </w:rPr>
        <w:tab/>
        <w:t xml:space="preserve"> 1,210,938.98</w:t>
      </w:r>
      <w:r>
        <w:rPr>
          <w:color w:val="000000"/>
          <w:sz w:val="16"/>
          <w:szCs w:val="16"/>
          <w:lang w:val="es-MX"/>
        </w:rPr>
        <w:tab/>
        <w:t xml:space="preserve"> 593,593.86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Resultados del Ejercicio (Ahorro/ Desahorro)</w:t>
      </w:r>
      <w:r>
        <w:rPr>
          <w:color w:val="000000"/>
          <w:sz w:val="16"/>
          <w:szCs w:val="16"/>
          <w:lang w:val="es-MX"/>
        </w:rPr>
        <w:tab/>
        <w:t xml:space="preserve"> 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Resultados de Ejercicios Anteriores</w:t>
      </w:r>
      <w:r>
        <w:rPr>
          <w:color w:val="000000"/>
          <w:sz w:val="16"/>
          <w:szCs w:val="16"/>
          <w:lang w:val="es-MX"/>
        </w:rPr>
        <w:tab/>
        <w:t xml:space="preserve"> 1,210,938.98</w:t>
      </w:r>
      <w:r>
        <w:rPr>
          <w:color w:val="000000"/>
          <w:sz w:val="16"/>
          <w:szCs w:val="16"/>
          <w:lang w:val="es-MX"/>
        </w:rPr>
        <w:tab/>
        <w:t xml:space="preserve"> 593,593.86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4D258B" w:rsidRDefault="00A62AEC">
      <w:pPr>
        <w:widowControl w:val="0"/>
        <w:tabs>
          <w:tab w:val="left" w:pos="240"/>
        </w:tabs>
        <w:spacing w:line="301" w:lineRule="exact"/>
        <w:rPr>
          <w:lang w:val="es-MX"/>
        </w:rPr>
      </w:pPr>
      <w:r>
        <w:rPr>
          <w:lang w:val="es-MX"/>
        </w:rPr>
        <w:tab/>
      </w:r>
    </w:p>
    <w:p w:rsidR="00695A3F" w:rsidRDefault="004D258B">
      <w:pPr>
        <w:widowControl w:val="0"/>
        <w:tabs>
          <w:tab w:val="left" w:pos="240"/>
        </w:tabs>
        <w:spacing w:line="301" w:lineRule="exact"/>
        <w:rPr>
          <w:b/>
          <w:bCs/>
          <w:color w:val="000000"/>
          <w:sz w:val="24"/>
          <w:szCs w:val="24"/>
          <w:lang w:val="es-MX"/>
        </w:rPr>
      </w:pPr>
      <w:r>
        <w:rPr>
          <w:b/>
          <w:bCs/>
          <w:color w:val="000000"/>
          <w:sz w:val="24"/>
          <w:szCs w:val="24"/>
          <w:lang w:val="es-MX"/>
        </w:rPr>
        <w:tab/>
      </w:r>
      <w:r w:rsidR="00A62AEC">
        <w:rPr>
          <w:b/>
          <w:bCs/>
          <w:color w:val="000000"/>
          <w:sz w:val="24"/>
          <w:szCs w:val="24"/>
          <w:lang w:val="es-MX"/>
        </w:rPr>
        <w:t>IV) Notas al Estado de Flujos de Efectivo</w:t>
      </w:r>
    </w:p>
    <w:p w:rsidR="00695A3F" w:rsidRDefault="00695A3F">
      <w:pPr>
        <w:widowControl w:val="0"/>
        <w:spacing w:line="205" w:lineRule="exact"/>
        <w:rPr>
          <w:lang w:val="es-MX"/>
        </w:rPr>
      </w:pP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1) Efectivo y Equivalentes</w:t>
      </w:r>
    </w:p>
    <w:p w:rsidR="00695A3F" w:rsidRDefault="00A62AEC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Efectivo</w:t>
      </w:r>
      <w:r>
        <w:rPr>
          <w:color w:val="000000"/>
          <w:sz w:val="16"/>
          <w:szCs w:val="16"/>
          <w:lang w:val="es-MX"/>
        </w:rPr>
        <w:tab/>
        <w:t xml:space="preserve"> 10,000.00</w:t>
      </w:r>
      <w:r>
        <w:rPr>
          <w:color w:val="000000"/>
          <w:sz w:val="16"/>
          <w:szCs w:val="16"/>
          <w:lang w:val="es-MX"/>
        </w:rPr>
        <w:tab/>
        <w:t xml:space="preserve"> 10,000.00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Bancos/Tesorería</w:t>
      </w:r>
      <w:r>
        <w:rPr>
          <w:color w:val="000000"/>
          <w:sz w:val="16"/>
          <w:szCs w:val="16"/>
          <w:lang w:val="es-MX"/>
        </w:rPr>
        <w:tab/>
        <w:t xml:space="preserve"> 638,314.05</w:t>
      </w:r>
      <w:r>
        <w:rPr>
          <w:color w:val="000000"/>
          <w:sz w:val="16"/>
          <w:szCs w:val="16"/>
          <w:lang w:val="es-MX"/>
        </w:rPr>
        <w:tab/>
        <w:t xml:space="preserve"> 1,014,579.96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2) </w:t>
      </w:r>
      <w:proofErr w:type="spellStart"/>
      <w:r>
        <w:rPr>
          <w:b/>
          <w:bCs/>
          <w:color w:val="000000"/>
          <w:lang w:val="es-MX"/>
        </w:rPr>
        <w:t>Adquisicion</w:t>
      </w:r>
      <w:proofErr w:type="spellEnd"/>
      <w:r>
        <w:rPr>
          <w:b/>
          <w:bCs/>
          <w:color w:val="000000"/>
          <w:lang w:val="es-MX"/>
        </w:rPr>
        <w:t xml:space="preserve"> de Bienes Muebles e Inmuebles</w:t>
      </w:r>
    </w:p>
    <w:p w:rsidR="00695A3F" w:rsidRDefault="00A62AEC">
      <w:pPr>
        <w:widowControl w:val="0"/>
        <w:tabs>
          <w:tab w:val="center" w:pos="4072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</w:p>
    <w:p w:rsidR="00695A3F" w:rsidRDefault="00A62AEC">
      <w:pPr>
        <w:widowControl w:val="0"/>
        <w:tabs>
          <w:tab w:val="left" w:pos="6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Bienes Muebles</w:t>
      </w:r>
      <w:r>
        <w:rPr>
          <w:color w:val="000000"/>
          <w:sz w:val="16"/>
          <w:szCs w:val="16"/>
          <w:lang w:val="es-MX"/>
        </w:rPr>
        <w:tab/>
        <w:t xml:space="preserve"> 87,458.20</w:t>
      </w:r>
    </w:p>
    <w:p w:rsidR="00695A3F" w:rsidRDefault="00A62AEC">
      <w:pPr>
        <w:widowControl w:val="0"/>
        <w:tabs>
          <w:tab w:val="left" w:pos="6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Mobiliario y Equipo de Administración</w:t>
      </w:r>
      <w:r>
        <w:rPr>
          <w:color w:val="000000"/>
          <w:sz w:val="16"/>
          <w:szCs w:val="16"/>
          <w:lang w:val="es-MX"/>
        </w:rPr>
        <w:tab/>
        <w:t xml:space="preserve"> 87,458.20</w:t>
      </w:r>
    </w:p>
    <w:p w:rsidR="00695A3F" w:rsidRDefault="00A62AEC">
      <w:pPr>
        <w:widowControl w:val="0"/>
        <w:tabs>
          <w:tab w:val="left" w:pos="6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Vehículos y Equipo de Transporte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6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Maquinaria, Otros Equipos y Herramientas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261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3) Conciliación de los Flujos de Efectivo Netos de las Actividades de Operación y la cuenta de Ahorro/Desahorro</w:t>
      </w:r>
    </w:p>
    <w:p w:rsidR="00695A3F" w:rsidRDefault="00A62AEC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b/>
          <w:bCs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16"/>
          <w:szCs w:val="16"/>
          <w:lang w:val="es-MX"/>
        </w:rPr>
        <w:t>Descripción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2024 </w:t>
      </w:r>
      <w:r>
        <w:rPr>
          <w:b/>
          <w:bCs/>
          <w:color w:val="000000"/>
          <w:sz w:val="16"/>
          <w:szCs w:val="16"/>
          <w:lang w:val="es-MX"/>
        </w:rPr>
        <w:tab/>
        <w:t xml:space="preserve"> 2023 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Resultados del Ejercicio (Ahorro/ Desahorro)</w:t>
      </w:r>
      <w:r>
        <w:rPr>
          <w:color w:val="000000"/>
          <w:sz w:val="16"/>
          <w:szCs w:val="16"/>
          <w:lang w:val="es-MX"/>
        </w:rPr>
        <w:tab/>
        <w:t xml:space="preserve"> 0.00</w:t>
      </w:r>
      <w:r>
        <w:rPr>
          <w:color w:val="000000"/>
          <w:sz w:val="16"/>
          <w:szCs w:val="16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OTROS GASTOS Y PERDIDAS EXTRAORDINARIAS</w:t>
      </w:r>
      <w:r>
        <w:rPr>
          <w:color w:val="000000"/>
          <w:sz w:val="16"/>
          <w:szCs w:val="16"/>
          <w:lang w:val="es-MX"/>
        </w:rPr>
        <w:tab/>
        <w:t xml:space="preserve"> 54,388.10</w:t>
      </w:r>
      <w:r>
        <w:rPr>
          <w:color w:val="000000"/>
          <w:sz w:val="16"/>
          <w:szCs w:val="16"/>
          <w:lang w:val="es-MX"/>
        </w:rPr>
        <w:tab/>
        <w:t xml:space="preserve"> 9,447.20</w:t>
      </w:r>
    </w:p>
    <w:p w:rsidR="00695A3F" w:rsidRDefault="00695A3F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color w:val="000000"/>
          <w:sz w:val="16"/>
          <w:szCs w:val="16"/>
          <w:lang w:val="es-MX"/>
        </w:rPr>
      </w:pPr>
    </w:p>
    <w:p w:rsidR="001371E4" w:rsidRDefault="001371E4">
      <w:pPr>
        <w:widowControl w:val="0"/>
        <w:spacing w:line="120" w:lineRule="exact"/>
        <w:rPr>
          <w:lang w:val="es-MX"/>
        </w:rPr>
      </w:pPr>
    </w:p>
    <w:p w:rsidR="00695A3F" w:rsidRDefault="00A62AEC">
      <w:pPr>
        <w:widowControl w:val="0"/>
        <w:tabs>
          <w:tab w:val="left" w:pos="240"/>
        </w:tabs>
        <w:spacing w:line="344" w:lineRule="exact"/>
        <w:rPr>
          <w:b/>
          <w:bCs/>
          <w:color w:val="000000"/>
          <w:sz w:val="24"/>
          <w:szCs w:val="24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4"/>
          <w:szCs w:val="24"/>
          <w:lang w:val="es-MX"/>
        </w:rPr>
        <w:t>V) Conciliación Presupuestaria y Contable</w:t>
      </w:r>
    </w:p>
    <w:p w:rsidR="00695A3F" w:rsidRDefault="00A62AEC">
      <w:pPr>
        <w:widowControl w:val="0"/>
        <w:tabs>
          <w:tab w:val="left" w:pos="360"/>
        </w:tabs>
        <w:spacing w:line="340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sz w:val="22"/>
          <w:szCs w:val="22"/>
          <w:lang w:val="es-MX"/>
        </w:rPr>
        <w:t>1) Conciliación entre los Ingresos Presupuestarios y Contables</w:t>
      </w:r>
    </w:p>
    <w:p w:rsidR="00695A3F" w:rsidRDefault="00695A3F">
      <w:pPr>
        <w:widowControl w:val="0"/>
        <w:spacing w:line="137" w:lineRule="exact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1. Ingresos Presupuestarios</w:t>
      </w:r>
      <w:r>
        <w:rPr>
          <w:b/>
          <w:bCs/>
          <w:color w:val="000000"/>
          <w:lang w:val="es-MX"/>
        </w:rPr>
        <w:tab/>
        <w:t xml:space="preserve"> 2,810,449.33</w:t>
      </w:r>
    </w:p>
    <w:p w:rsidR="00695A3F" w:rsidRDefault="00695A3F" w:rsidP="007B542F">
      <w:pPr>
        <w:widowControl w:val="0"/>
        <w:spacing w:line="46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Más Ingresos contables no presupuestarios</w:t>
      </w:r>
      <w:r>
        <w:rPr>
          <w:b/>
          <w:bCs/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Ingresos Financieros</w:t>
      </w:r>
      <w:r>
        <w:rPr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Incremento por Variación de Inventarios</w:t>
      </w:r>
      <w:r>
        <w:rPr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Disminución del Exceso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Disminución del Exceso de Provisiones</w:t>
      </w:r>
      <w:r>
        <w:rPr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2.5 Otros Ingresos y Beneficios Varios</w:t>
      </w:r>
      <w:r>
        <w:rPr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Otros Ingresos Contables No Presupuestarios</w:t>
      </w:r>
      <w:r>
        <w:rPr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Menos Ingresos Presupuestarios No Contables</w:t>
      </w:r>
      <w:r>
        <w:rPr>
          <w:b/>
          <w:bCs/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Aprovechamientos Patrimoniales</w:t>
      </w:r>
      <w:r>
        <w:rPr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Ingresos Derivados de Financiamientos</w:t>
      </w:r>
      <w:r>
        <w:rPr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Otros Ingresos Presupuestarios No Contables</w:t>
      </w:r>
      <w:r>
        <w:rPr>
          <w:color w:val="000000"/>
          <w:lang w:val="es-MX"/>
        </w:rPr>
        <w:tab/>
        <w:t xml:space="preserve"> 0.00</w:t>
      </w:r>
    </w:p>
    <w:p w:rsidR="00695A3F" w:rsidRDefault="00695A3F" w:rsidP="007B542F">
      <w:pPr>
        <w:widowControl w:val="0"/>
        <w:spacing w:line="130" w:lineRule="exact"/>
        <w:jc w:val="both"/>
        <w:rPr>
          <w:lang w:val="es-MX"/>
        </w:rPr>
      </w:pPr>
    </w:p>
    <w:p w:rsidR="00695A3F" w:rsidRDefault="00A62AEC" w:rsidP="007B542F">
      <w:pPr>
        <w:widowControl w:val="0"/>
        <w:tabs>
          <w:tab w:val="left" w:pos="490"/>
          <w:tab w:val="right" w:pos="11170"/>
        </w:tabs>
        <w:spacing w:line="200" w:lineRule="exact"/>
        <w:jc w:val="both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Ingresos Contables (4 = 1 + 2 </w:t>
      </w:r>
      <w:r>
        <w:rPr>
          <w:b/>
          <w:bCs/>
          <w:color w:val="000000"/>
          <w:lang w:val="es-MX"/>
        </w:rPr>
        <w:noBreakHyphen/>
        <w:t xml:space="preserve"> 3)</w:t>
      </w:r>
      <w:r>
        <w:rPr>
          <w:b/>
          <w:bCs/>
          <w:color w:val="000000"/>
          <w:lang w:val="es-MX"/>
        </w:rPr>
        <w:tab/>
        <w:t xml:space="preserve"> 2,810,449.33</w:t>
      </w:r>
    </w:p>
    <w:p w:rsidR="00695A3F" w:rsidRDefault="00695A3F">
      <w:pPr>
        <w:widowControl w:val="0"/>
        <w:spacing w:line="330" w:lineRule="exact"/>
        <w:rPr>
          <w:lang w:val="es-MX"/>
        </w:rPr>
      </w:pPr>
    </w:p>
    <w:p w:rsidR="00695A3F" w:rsidRDefault="00A62AEC">
      <w:pPr>
        <w:widowControl w:val="0"/>
        <w:tabs>
          <w:tab w:val="center" w:pos="5865"/>
        </w:tabs>
        <w:spacing w:line="160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695A3F" w:rsidRDefault="00695A3F">
      <w:pPr>
        <w:widowControl w:val="0"/>
        <w:spacing w:line="320" w:lineRule="exact"/>
        <w:rPr>
          <w:lang w:val="es-MX"/>
        </w:rPr>
      </w:pPr>
    </w:p>
    <w:p w:rsidR="00695A3F" w:rsidRDefault="00A62AEC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695A3F" w:rsidRDefault="00695A3F">
      <w:pPr>
        <w:widowControl w:val="0"/>
        <w:spacing w:line="680" w:lineRule="exact"/>
        <w:rPr>
          <w:lang w:val="es-MX"/>
        </w:rPr>
      </w:pPr>
    </w:p>
    <w:p w:rsidR="00695A3F" w:rsidRDefault="00A62AEC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proofErr w:type="gramStart"/>
      <w:r>
        <w:rPr>
          <w:rFonts w:ascii="Calibri" w:hAnsi="Calibri" w:cs="Calibri"/>
          <w:color w:val="000000"/>
          <w:sz w:val="16"/>
          <w:szCs w:val="16"/>
          <w:lang w:val="es-MX"/>
        </w:rPr>
        <w:t>DIRECTORA  GENERAL</w:t>
      </w:r>
      <w:proofErr w:type="gramEnd"/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COORDINADOR GRAL. ADMINISTRATIVO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GENERAL</w:t>
      </w:r>
    </w:p>
    <w:p w:rsidR="00695A3F" w:rsidRDefault="00695A3F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</w:p>
    <w:p w:rsidR="004D258B" w:rsidRDefault="004D258B">
      <w:pPr>
        <w:widowControl w:val="0"/>
        <w:spacing w:line="120" w:lineRule="exact"/>
        <w:rPr>
          <w:lang w:val="es-MX"/>
        </w:rPr>
      </w:pPr>
      <w:bookmarkStart w:id="0" w:name="_GoBack"/>
      <w:bookmarkEnd w:id="0"/>
    </w:p>
    <w:p w:rsidR="00695A3F" w:rsidRDefault="00A62AEC">
      <w:pPr>
        <w:widowControl w:val="0"/>
        <w:tabs>
          <w:tab w:val="left" w:pos="360"/>
        </w:tabs>
        <w:spacing w:line="263" w:lineRule="exact"/>
        <w:rPr>
          <w:b/>
          <w:bCs/>
          <w:color w:val="000000"/>
          <w:sz w:val="22"/>
          <w:szCs w:val="22"/>
          <w:lang w:val="es-MX"/>
        </w:rPr>
      </w:pPr>
      <w:r>
        <w:rPr>
          <w:lang w:val="es-MX"/>
        </w:rPr>
        <w:lastRenderedPageBreak/>
        <w:tab/>
      </w:r>
      <w:r>
        <w:rPr>
          <w:b/>
          <w:bCs/>
          <w:color w:val="000000"/>
          <w:sz w:val="22"/>
          <w:szCs w:val="22"/>
          <w:lang w:val="es-MX"/>
        </w:rPr>
        <w:t>2) Conciliación entre los Egresos Presupuestarios y Contables</w:t>
      </w:r>
    </w:p>
    <w:p w:rsidR="00695A3F" w:rsidRDefault="00695A3F">
      <w:pPr>
        <w:widowControl w:val="0"/>
        <w:spacing w:line="297" w:lineRule="exact"/>
        <w:rPr>
          <w:lang w:val="es-MX"/>
        </w:rPr>
      </w:pPr>
    </w:p>
    <w:p w:rsidR="00695A3F" w:rsidRDefault="00A62AEC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1. Total de egresos (presupuestarios)</w:t>
      </w:r>
      <w:r>
        <w:rPr>
          <w:b/>
          <w:bCs/>
          <w:color w:val="000000"/>
          <w:lang w:val="es-MX"/>
        </w:rPr>
        <w:tab/>
        <w:t xml:space="preserve"> 2,613,675.47</w:t>
      </w:r>
    </w:p>
    <w:p w:rsidR="00695A3F" w:rsidRDefault="00695A3F">
      <w:pPr>
        <w:widowControl w:val="0"/>
        <w:spacing w:line="300" w:lineRule="exact"/>
        <w:rPr>
          <w:lang w:val="es-MX"/>
        </w:rPr>
      </w:pPr>
    </w:p>
    <w:p w:rsidR="00695A3F" w:rsidRDefault="00A62AEC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2. Menos egresos presupuestarios no contables</w:t>
      </w:r>
      <w:r>
        <w:rPr>
          <w:b/>
          <w:bCs/>
          <w:color w:val="000000"/>
          <w:lang w:val="es-MX"/>
        </w:rPr>
        <w:tab/>
        <w:t xml:space="preserve"> 87,458.20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 Materias Primas y Materiales de Producción y Comercialización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 Materiales y Suministros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2.3 Mobiliario y Equipo de Administración</w:t>
      </w:r>
      <w:r>
        <w:rPr>
          <w:color w:val="000000"/>
          <w:lang w:val="es-MX"/>
        </w:rPr>
        <w:tab/>
        <w:t xml:space="preserve"> 87,458.20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2.4 Mobiliario y Equipo Educacional y Recreativo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2.5 Equipo e Instrumental Médico y de Laboratorio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2.6 Vehículos y Equipo de Transporte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2.7 Equipo de Defensa y Seguridad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2.8 Maquinaria, Otros Equipos y Herramientas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2.9 Activos Biológicos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2.10 Bienes Inmuebles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2.11 Activos Intangibles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2.12 Obra Pública en Bienes de Dominio Público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2.13 Obra Pública en Bienes Propios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2.14 Acciones y Participaciones de Capital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2.15 Compra de Títulos y Valores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2.16 Concesión de Préstamos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2.17 Inversiones en Fideicomisos, Mandatos y Otros Análogos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2.18 Provisiones para Contingencias y Otras Erogaciones Especiales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2.19 Amortización de la Deuda Publica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2.20 Adeudos de Ejercicios Fiscales Anteriores (ADEFAS)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2.21 Otros Egresos Presupuestarios No Contables</w:t>
      </w:r>
      <w:r>
        <w:rPr>
          <w:color w:val="000000"/>
          <w:lang w:val="es-MX"/>
        </w:rPr>
        <w:tab/>
        <w:t xml:space="preserve"> 0.00</w:t>
      </w:r>
    </w:p>
    <w:p w:rsidR="00695A3F" w:rsidRDefault="00695A3F">
      <w:pPr>
        <w:widowControl w:val="0"/>
        <w:spacing w:line="300" w:lineRule="exact"/>
        <w:rPr>
          <w:lang w:val="es-MX"/>
        </w:rPr>
      </w:pPr>
    </w:p>
    <w:p w:rsidR="00695A3F" w:rsidRDefault="00A62AEC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>3. Más gastos contables no presupuestales</w:t>
      </w:r>
      <w:r>
        <w:rPr>
          <w:b/>
          <w:bCs/>
          <w:color w:val="000000"/>
          <w:lang w:val="es-MX"/>
        </w:rPr>
        <w:tab/>
        <w:t xml:space="preserve"> 54,388.10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3.1 Estimaciones, Depreciaciones, Deterioros, Obsolescencia y Amortizaciones</w:t>
      </w:r>
      <w:r>
        <w:rPr>
          <w:color w:val="000000"/>
          <w:lang w:val="es-MX"/>
        </w:rPr>
        <w:tab/>
        <w:t xml:space="preserve"> 54,388.10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3.2 Provisiones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3.3 Disminución de Inventarios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3.4 Aumento por Insuficiencia de Estimaciones por Pérdida o Deterioro u Obsolescencia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3.5 Aumento por Insuficiencia de Provisiones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3.6 Otros Gastos</w:t>
      </w:r>
      <w:r>
        <w:rPr>
          <w:color w:val="000000"/>
          <w:lang w:val="es-MX"/>
        </w:rPr>
        <w:tab/>
        <w:t xml:space="preserve"> 0.00</w:t>
      </w:r>
    </w:p>
    <w:p w:rsidR="00695A3F" w:rsidRDefault="00A62AEC">
      <w:pPr>
        <w:widowControl w:val="0"/>
        <w:tabs>
          <w:tab w:val="left" w:pos="480"/>
          <w:tab w:val="right" w:pos="11485"/>
        </w:tabs>
        <w:spacing w:line="250" w:lineRule="exact"/>
        <w:rPr>
          <w:color w:val="000000"/>
          <w:lang w:val="es-MX"/>
        </w:rPr>
      </w:pPr>
      <w:r>
        <w:rPr>
          <w:lang w:val="es-MX"/>
        </w:rPr>
        <w:tab/>
      </w:r>
      <w:r>
        <w:rPr>
          <w:color w:val="000000"/>
          <w:lang w:val="es-MX"/>
        </w:rPr>
        <w:t xml:space="preserve">    3.7 Otros Gastos Contables No Presupuestarios</w:t>
      </w:r>
      <w:r>
        <w:rPr>
          <w:color w:val="000000"/>
          <w:lang w:val="es-MX"/>
        </w:rPr>
        <w:tab/>
        <w:t xml:space="preserve"> 0.00</w:t>
      </w:r>
    </w:p>
    <w:p w:rsidR="00695A3F" w:rsidRDefault="00695A3F">
      <w:pPr>
        <w:widowControl w:val="0"/>
        <w:spacing w:line="300" w:lineRule="exact"/>
        <w:rPr>
          <w:lang w:val="es-MX"/>
        </w:rPr>
      </w:pPr>
    </w:p>
    <w:p w:rsidR="00695A3F" w:rsidRDefault="00A62AEC">
      <w:pPr>
        <w:widowControl w:val="0"/>
        <w:tabs>
          <w:tab w:val="left" w:pos="480"/>
          <w:tab w:val="right" w:pos="11485"/>
        </w:tabs>
        <w:spacing w:line="200" w:lineRule="exact"/>
        <w:rPr>
          <w:b/>
          <w:bCs/>
          <w:color w:val="000000"/>
          <w:lang w:val="es-MX"/>
        </w:rPr>
      </w:pPr>
      <w:r>
        <w:rPr>
          <w:lang w:val="es-MX"/>
        </w:rPr>
        <w:tab/>
      </w:r>
      <w:r>
        <w:rPr>
          <w:b/>
          <w:bCs/>
          <w:color w:val="000000"/>
          <w:lang w:val="es-MX"/>
        </w:rPr>
        <w:t xml:space="preserve">4. Total de Gasto Contable (4 = 1 </w:t>
      </w:r>
      <w:r>
        <w:rPr>
          <w:b/>
          <w:bCs/>
          <w:color w:val="000000"/>
          <w:lang w:val="es-MX"/>
        </w:rPr>
        <w:noBreakHyphen/>
        <w:t xml:space="preserve"> 2 + 3)</w:t>
      </w:r>
      <w:r>
        <w:rPr>
          <w:b/>
          <w:bCs/>
          <w:color w:val="000000"/>
          <w:lang w:val="es-MX"/>
        </w:rPr>
        <w:tab/>
        <w:t xml:space="preserve"> 2,580,605.37</w:t>
      </w:r>
    </w:p>
    <w:p w:rsidR="00695A3F" w:rsidRDefault="00A62AEC">
      <w:pPr>
        <w:widowControl w:val="0"/>
        <w:tabs>
          <w:tab w:val="center" w:pos="5842"/>
        </w:tabs>
        <w:spacing w:line="255" w:lineRule="exact"/>
        <w:rPr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color w:val="000000"/>
          <w:sz w:val="16"/>
          <w:szCs w:val="16"/>
          <w:lang w:val="es-MX"/>
        </w:rPr>
        <w:t>Bajo protesta de decir verdad declaramos que los Estados Financieros y sus Notas, son razonablemente correctos y son responsabilidad del emisor</w:t>
      </w:r>
    </w:p>
    <w:p w:rsidR="00695A3F" w:rsidRDefault="00695A3F">
      <w:pPr>
        <w:widowControl w:val="0"/>
        <w:spacing w:line="395" w:lineRule="exact"/>
        <w:rPr>
          <w:lang w:val="es-MX"/>
        </w:rPr>
      </w:pPr>
    </w:p>
    <w:p w:rsidR="00695A3F" w:rsidRDefault="00A62AEC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r>
        <w:rPr>
          <w:rFonts w:ascii="Calibri" w:hAnsi="Calibri" w:cs="Calibri"/>
          <w:color w:val="000000"/>
          <w:sz w:val="16"/>
          <w:szCs w:val="16"/>
          <w:lang w:val="es-MX"/>
        </w:rPr>
        <w:t>JHENNY JUDITH BERNAL ARELLANO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CRISTIAN ALBERTO ACOSTA PADILLA</w:t>
      </w:r>
      <w:r>
        <w:rPr>
          <w:rFonts w:ascii="Calibri" w:hAnsi="Calibri" w:cs="Calibri"/>
          <w:color w:val="000000"/>
          <w:sz w:val="16"/>
          <w:szCs w:val="16"/>
          <w:lang w:val="es-MX"/>
        </w:rPr>
        <w:tab/>
        <w:t>MARIA CLARISA ACOSTA LOPEZ</w:t>
      </w:r>
    </w:p>
    <w:p w:rsidR="00695A3F" w:rsidRDefault="00695A3F">
      <w:pPr>
        <w:widowControl w:val="0"/>
        <w:spacing w:line="680" w:lineRule="exact"/>
        <w:rPr>
          <w:lang w:val="es-MX"/>
        </w:rPr>
      </w:pPr>
    </w:p>
    <w:p w:rsidR="00A62AEC" w:rsidRPr="007B542F" w:rsidRDefault="00A62AEC" w:rsidP="007B542F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="Calibri" w:hAnsi="Calibri" w:cs="Calibri"/>
          <w:color w:val="000000"/>
          <w:sz w:val="16"/>
          <w:szCs w:val="16"/>
          <w:lang w:val="es-MX"/>
        </w:rPr>
      </w:pPr>
      <w:r>
        <w:rPr>
          <w:lang w:val="es-MX"/>
        </w:rPr>
        <w:tab/>
      </w:r>
      <w:proofErr w:type="gramStart"/>
      <w:r>
        <w:rPr>
          <w:rFonts w:ascii="Calibri" w:hAnsi="Calibri" w:cs="Calibri"/>
          <w:color w:val="000000"/>
          <w:sz w:val="16"/>
          <w:szCs w:val="16"/>
          <w:lang w:val="es-MX"/>
        </w:rPr>
        <w:t>DIRECTORA  GENERAL</w:t>
      </w:r>
      <w:proofErr w:type="gramEnd"/>
      <w:r>
        <w:rPr>
          <w:rFonts w:ascii="Calibri" w:hAnsi="Calibri" w:cs="Calibri"/>
          <w:color w:val="000000"/>
          <w:sz w:val="16"/>
          <w:szCs w:val="16"/>
          <w:lang w:val="es-MX"/>
        </w:rPr>
        <w:tab/>
        <w:t xml:space="preserve">COORDINADOR GRAL. </w:t>
      </w:r>
      <w:r w:rsidR="007B542F">
        <w:rPr>
          <w:rFonts w:ascii="Calibri" w:hAnsi="Calibri" w:cs="Calibri"/>
          <w:color w:val="000000"/>
          <w:sz w:val="16"/>
          <w:szCs w:val="16"/>
          <w:lang w:val="es-MX"/>
        </w:rPr>
        <w:t>ADMINISTRATIVO</w:t>
      </w:r>
      <w:r w:rsidR="007B542F">
        <w:rPr>
          <w:rFonts w:ascii="Calibri" w:hAnsi="Calibri" w:cs="Calibri"/>
          <w:color w:val="000000"/>
          <w:sz w:val="16"/>
          <w:szCs w:val="16"/>
          <w:lang w:val="es-MX"/>
        </w:rPr>
        <w:tab/>
        <w:t>CONTADOR GENERA</w:t>
      </w:r>
    </w:p>
    <w:sectPr w:rsidR="00A62AEC" w:rsidRPr="007B542F" w:rsidSect="007B542F">
      <w:headerReference w:type="default" r:id="rId7"/>
      <w:pgSz w:w="12242" w:h="15842"/>
      <w:pgMar w:top="851" w:right="567" w:bottom="851" w:left="567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DF" w:rsidRDefault="003121DF">
      <w:r>
        <w:separator/>
      </w:r>
    </w:p>
  </w:endnote>
  <w:endnote w:type="continuationSeparator" w:id="0">
    <w:p w:rsidR="003121DF" w:rsidRDefault="0031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DF" w:rsidRDefault="003121DF">
      <w:r>
        <w:separator/>
      </w:r>
    </w:p>
  </w:footnote>
  <w:footnote w:type="continuationSeparator" w:id="0">
    <w:p w:rsidR="003121DF" w:rsidRDefault="00312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3F" w:rsidRDefault="00695A3F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2F"/>
    <w:rsid w:val="001371E4"/>
    <w:rsid w:val="003121DF"/>
    <w:rsid w:val="004D258B"/>
    <w:rsid w:val="00695A3F"/>
    <w:rsid w:val="007B542F"/>
    <w:rsid w:val="00852720"/>
    <w:rsid w:val="00A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28F13"/>
  <w14:defaultImageDpi w14:val="0"/>
  <w15:docId w15:val="{D64CD9C8-FC04-4D48-A175-CBDF716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5</cp:revision>
  <dcterms:created xsi:type="dcterms:W3CDTF">2024-04-12T21:42:00Z</dcterms:created>
  <dcterms:modified xsi:type="dcterms:W3CDTF">2024-05-27T17:39:00Z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01C2D35AF44DC8546069FCCFAB82437E8ADDB2BDEF6EFD411221E6762295156B2CA5BF264AFA4D259175135F46DFB2305C0B1480DDA6A2C73083D54907A06E285EF2057C3D7FB1FC861B1D9FE0FEDFE437A47FB040D00AA9128C249C23AE162E45B1005501D6111373E2E2D6377BB8D4ED4FD474067757DD1AA996CEFA48D73</vt:lpwstr>
  </property>
  <property fmtid="{D5CDD505-2E9C-101B-9397-08002B2CF9AE}" pid="3" name="Business Objects Context Information1">
    <vt:lpwstr>C0089D9845087098D6E013078194B41F82C307FFE29302E974592C4B602F720B417EEDFB6CC33C891EC8E37748EA43853964847542C032B68755391E41791256523438C098FEDB1122FA0BF30DC16495388D7F8F058493D12607E0F0B355698F298BED8C26FF756590102F43D091B830B233712016E70D068F8EA065C1A5E12</vt:lpwstr>
  </property>
  <property fmtid="{D5CDD505-2E9C-101B-9397-08002B2CF9AE}" pid="4" name="Business Objects Context Information2">
    <vt:lpwstr>32BB8BDD5EA8350B596AB72D30B94FC343AF</vt:lpwstr>
  </property>
</Properties>
</file>